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980A" w14:textId="53CF162C" w:rsidR="00EA5BDF" w:rsidRPr="005117F2" w:rsidRDefault="00EA5BDF" w:rsidP="00FA6F63">
      <w:pPr>
        <w:jc w:val="center"/>
        <w:rPr>
          <w:sz w:val="24"/>
          <w:szCs w:val="24"/>
        </w:rPr>
      </w:pPr>
      <w:r w:rsidRPr="003C7A52">
        <w:rPr>
          <w:rFonts w:ascii="Verdana Pro Semibold" w:hAnsi="Verdana Pro Semibold"/>
          <w:b/>
          <w:bCs/>
          <w:sz w:val="32"/>
          <w:szCs w:val="32"/>
        </w:rPr>
        <w:t>DEPARTEMENT FINANCEMENT.</w:t>
      </w:r>
    </w:p>
    <w:p w14:paraId="20046B8F" w14:textId="77777777" w:rsidR="00EA5BDF" w:rsidRPr="003C7A52" w:rsidRDefault="00EA5BDF" w:rsidP="00EA5BDF">
      <w:pPr>
        <w:tabs>
          <w:tab w:val="left" w:pos="3402"/>
        </w:tabs>
        <w:rPr>
          <w:rFonts w:ascii="Verdana Pro Semibold" w:hAnsi="Verdana Pro Semibold"/>
          <w:sz w:val="32"/>
          <w:szCs w:val="32"/>
        </w:rPr>
      </w:pPr>
    </w:p>
    <w:p w14:paraId="649F2211" w14:textId="460E2BE5" w:rsidR="00EA5BDF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6C7EDE">
        <w:rPr>
          <w:rFonts w:ascii="Verdana Pro Semibold" w:hAnsi="Verdana Pro Semibold"/>
          <w:sz w:val="24"/>
          <w:szCs w:val="24"/>
        </w:rPr>
        <w:t xml:space="preserve">Notre Partenaire financier est spécialisée, avec son réseau bancaire </w:t>
      </w:r>
      <w:r w:rsidR="00D44115">
        <w:rPr>
          <w:rFonts w:ascii="Verdana Pro Semibold" w:hAnsi="Verdana Pro Semibold"/>
          <w:sz w:val="24"/>
          <w:szCs w:val="24"/>
        </w:rPr>
        <w:t xml:space="preserve">international </w:t>
      </w:r>
      <w:r w:rsidRPr="006C7EDE">
        <w:rPr>
          <w:rFonts w:ascii="Verdana Pro Semibold" w:hAnsi="Verdana Pro Semibold"/>
          <w:sz w:val="24"/>
          <w:szCs w:val="24"/>
        </w:rPr>
        <w:t>dans la mise en place de solutions financières court terme sur mesure, permettant de générer davantage de trésorerie et d'être indépendant du système bancaire traditionnel.</w:t>
      </w:r>
    </w:p>
    <w:p w14:paraId="796772D9" w14:textId="77777777" w:rsidR="00D44115" w:rsidRPr="006C7EDE" w:rsidRDefault="00D44115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</w:p>
    <w:p w14:paraId="47EACD34" w14:textId="77777777" w:rsidR="00EA5BDF" w:rsidRPr="006C7EDE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D44115">
        <w:rPr>
          <w:rFonts w:ascii="Verdana Pro Semibold" w:hAnsi="Verdana Pro Semibold"/>
          <w:sz w:val="24"/>
          <w:szCs w:val="24"/>
          <w:u w:val="single"/>
        </w:rPr>
        <w:t>L'encours de financement</w:t>
      </w:r>
      <w:r w:rsidRPr="006C7EDE">
        <w:rPr>
          <w:rFonts w:ascii="Verdana Pro Semibold" w:hAnsi="Verdana Pro Semibold"/>
          <w:sz w:val="24"/>
          <w:szCs w:val="24"/>
        </w:rPr>
        <w:t xml:space="preserve"> est calculé sur la base de votre balance clients que vous souhaitez faire financer.</w:t>
      </w:r>
    </w:p>
    <w:p w14:paraId="15CF145E" w14:textId="10ADED04" w:rsidR="00EA5BDF" w:rsidRPr="006C7EDE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D44115">
        <w:rPr>
          <w:rFonts w:ascii="Verdana Pro Semibold" w:hAnsi="Verdana Pro Semibold"/>
          <w:sz w:val="24"/>
          <w:szCs w:val="24"/>
          <w:u w:val="single"/>
        </w:rPr>
        <w:t>La mise en place d'une ligne de financement court terme dont la garantie est la cession du solde de la balance clients, permettra à votre</w:t>
      </w:r>
      <w:r w:rsidRPr="006C7EDE">
        <w:rPr>
          <w:rFonts w:ascii="Verdana Pro Semibold" w:hAnsi="Verdana Pro Semibold"/>
          <w:sz w:val="24"/>
          <w:szCs w:val="24"/>
        </w:rPr>
        <w:t xml:space="preserve"> entreprise d'avoir une quotité de financement supérieure grâce à des lignes automatiques supplémentaires de 50 000€ par débiteur : (ligne de financement fonction de votre encours clients).</w:t>
      </w:r>
    </w:p>
    <w:p w14:paraId="5B893F5D" w14:textId="74C5A1F2" w:rsidR="00EA5BDF" w:rsidRPr="006C7EDE" w:rsidRDefault="00D44115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>Y compris p</w:t>
      </w:r>
      <w:r w:rsidR="00EA5BDF" w:rsidRPr="006C7EDE">
        <w:rPr>
          <w:rFonts w:ascii="Verdana Pro Semibold" w:hAnsi="Verdana Pro Semibold"/>
          <w:sz w:val="24"/>
          <w:szCs w:val="24"/>
        </w:rPr>
        <w:t>our les débiteurs peu ou pas couverts par l'assurance-crédit</w:t>
      </w:r>
      <w:r>
        <w:rPr>
          <w:rFonts w:ascii="Verdana Pro Semibold" w:hAnsi="Verdana Pro Semibold"/>
          <w:sz w:val="24"/>
          <w:szCs w:val="24"/>
        </w:rPr>
        <w:t>.</w:t>
      </w:r>
    </w:p>
    <w:p w14:paraId="7E1DDB6C" w14:textId="77777777" w:rsidR="00D44115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D44115">
        <w:rPr>
          <w:rFonts w:ascii="Verdana Pro Semibold" w:hAnsi="Verdana Pro Semibold"/>
          <w:sz w:val="24"/>
          <w:szCs w:val="24"/>
          <w:u w:val="single"/>
        </w:rPr>
        <w:t>Exemple</w:t>
      </w:r>
      <w:r w:rsidRPr="006C7EDE">
        <w:rPr>
          <w:rFonts w:ascii="Verdana Pro Semibold" w:hAnsi="Verdana Pro Semibold"/>
          <w:sz w:val="24"/>
          <w:szCs w:val="24"/>
        </w:rPr>
        <w:t xml:space="preserve"> : si votre débiteur est coté 20 000€, il pourrait être financé jusqu' à</w:t>
      </w:r>
      <w:r>
        <w:rPr>
          <w:rFonts w:ascii="Verdana Pro Semibold" w:hAnsi="Verdana Pro Semibold"/>
          <w:sz w:val="24"/>
          <w:szCs w:val="24"/>
        </w:rPr>
        <w:t xml:space="preserve"> </w:t>
      </w:r>
      <w:r w:rsidRPr="006C7EDE">
        <w:rPr>
          <w:rFonts w:ascii="Verdana Pro Semibold" w:hAnsi="Verdana Pro Semibold"/>
          <w:sz w:val="24"/>
          <w:szCs w:val="24"/>
        </w:rPr>
        <w:t xml:space="preserve">70 000€ ; si un de vos débiteurs n'a pas de garantie </w:t>
      </w:r>
    </w:p>
    <w:p w14:paraId="3B50BEE8" w14:textId="3FF3F34C" w:rsidR="00EA5BDF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6C7EDE">
        <w:rPr>
          <w:rFonts w:ascii="Verdana Pro Semibold" w:hAnsi="Verdana Pro Semibold"/>
          <w:sz w:val="24"/>
          <w:szCs w:val="24"/>
        </w:rPr>
        <w:t>(</w:t>
      </w:r>
      <w:r w:rsidR="00D44115" w:rsidRPr="006C7EDE">
        <w:rPr>
          <w:rFonts w:ascii="Verdana Pro Semibold" w:hAnsi="Verdana Pro Semibold"/>
          <w:sz w:val="24"/>
          <w:szCs w:val="24"/>
        </w:rPr>
        <w:t>Coté</w:t>
      </w:r>
      <w:r w:rsidRPr="006C7EDE">
        <w:rPr>
          <w:rFonts w:ascii="Verdana Pro Semibold" w:hAnsi="Verdana Pro Semibold"/>
          <w:sz w:val="24"/>
          <w:szCs w:val="24"/>
        </w:rPr>
        <w:t xml:space="preserve"> « 0 »), il pourrait être financé jusqu'à 50 000€.</w:t>
      </w:r>
    </w:p>
    <w:p w14:paraId="4C18F273" w14:textId="77777777" w:rsidR="00D44115" w:rsidRDefault="00D44115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</w:p>
    <w:p w14:paraId="499A4C9A" w14:textId="1980B08B" w:rsidR="00D44115" w:rsidRDefault="00D44115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 xml:space="preserve">AVANTAGES : </w:t>
      </w:r>
    </w:p>
    <w:p w14:paraId="2AB71845" w14:textId="77777777" w:rsidR="00D44115" w:rsidRPr="006C7EDE" w:rsidRDefault="00D44115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</w:p>
    <w:p w14:paraId="23B8A83E" w14:textId="77777777" w:rsidR="00EA5BDF" w:rsidRPr="006C7EDE" w:rsidRDefault="00EA5BDF" w:rsidP="00EA5BDF">
      <w:pPr>
        <w:pStyle w:val="Sansinterligne"/>
        <w:jc w:val="both"/>
        <w:rPr>
          <w:rFonts w:ascii="Verdana Pro Semibold" w:hAnsi="Verdana Pro Semibold"/>
          <w:sz w:val="24"/>
          <w:szCs w:val="24"/>
        </w:rPr>
      </w:pPr>
      <w:r w:rsidRPr="006C7EDE">
        <w:rPr>
          <w:rFonts w:ascii="Verdana Pro Semibold" w:hAnsi="Verdana Pro Semibold"/>
          <w:sz w:val="24"/>
          <w:szCs w:val="24"/>
        </w:rPr>
        <w:t>-Un financement pouvant être porté jusqu'à 60 jours après la date d'échéance.</w:t>
      </w:r>
    </w:p>
    <w:p w14:paraId="7E1B23D1" w14:textId="77777777" w:rsidR="00EA5BDF" w:rsidRPr="006C7EDE" w:rsidRDefault="00EA5BDF" w:rsidP="00EA5BDF">
      <w:pPr>
        <w:pStyle w:val="Sansinterligne"/>
        <w:jc w:val="both"/>
        <w:rPr>
          <w:rFonts w:ascii="Verdana Pro Semibold" w:hAnsi="Verdana Pro Semibold"/>
          <w:b/>
          <w:bCs/>
          <w:sz w:val="24"/>
          <w:szCs w:val="24"/>
        </w:rPr>
      </w:pPr>
      <w:r w:rsidRPr="006C7EDE">
        <w:rPr>
          <w:rFonts w:ascii="Verdana Pro Semibold" w:hAnsi="Verdana Pro Semibold"/>
          <w:b/>
          <w:bCs/>
          <w:sz w:val="24"/>
          <w:szCs w:val="24"/>
        </w:rPr>
        <w:t>- une indépendance bancaire et financière : l'ouverture d'un compte dédié pour l'entreprise afin d'effectuer vos virements vers vos comptes bancaires et recevoir le règlement de vos clients puisque vous conservez l'encaissement et les relances.</w:t>
      </w:r>
    </w:p>
    <w:p w14:paraId="723A0C33" w14:textId="77777777" w:rsidR="00EA5BDF" w:rsidRDefault="00EA5BDF" w:rsidP="00EA5BDF">
      <w:pPr>
        <w:pStyle w:val="Sansinterligne"/>
        <w:jc w:val="both"/>
        <w:rPr>
          <w:rFonts w:ascii="Verdana Pro Semibold" w:hAnsi="Verdana Pro Semibold"/>
          <w:b/>
          <w:bCs/>
          <w:sz w:val="24"/>
          <w:szCs w:val="24"/>
        </w:rPr>
      </w:pPr>
      <w:r w:rsidRPr="00D44115">
        <w:rPr>
          <w:rFonts w:ascii="Verdana Pro Semibold" w:hAnsi="Verdana Pro Semibold"/>
          <w:b/>
          <w:bCs/>
          <w:sz w:val="24"/>
          <w:szCs w:val="24"/>
          <w:u w:val="single"/>
        </w:rPr>
        <w:t>Vous conservez vos banquiers traditionnels</w:t>
      </w:r>
      <w:r w:rsidRPr="006C7EDE">
        <w:rPr>
          <w:rFonts w:ascii="Verdana Pro Semibold" w:hAnsi="Verdana Pro Semibold"/>
          <w:b/>
          <w:bCs/>
          <w:sz w:val="24"/>
          <w:szCs w:val="24"/>
        </w:rPr>
        <w:t xml:space="preserve"> pour des opérations courantes et tout autre type de financement moyen et/ou long terme.</w:t>
      </w:r>
    </w:p>
    <w:p w14:paraId="37F2E35C" w14:textId="77777777" w:rsidR="00EA5BDF" w:rsidRPr="006C7EDE" w:rsidRDefault="00EA5BDF" w:rsidP="00EA5BDF">
      <w:pPr>
        <w:pStyle w:val="Sansinterligne"/>
        <w:jc w:val="both"/>
        <w:rPr>
          <w:rFonts w:ascii="Verdana Pro Semibold" w:hAnsi="Verdana Pro Semibold"/>
          <w:b/>
          <w:bCs/>
          <w:sz w:val="24"/>
          <w:szCs w:val="24"/>
        </w:rPr>
      </w:pPr>
    </w:p>
    <w:p w14:paraId="7C090A5F" w14:textId="535D75DF" w:rsidR="00EA5BDF" w:rsidRPr="00E633BC" w:rsidRDefault="00EA5BDF" w:rsidP="00EA5BDF">
      <w:pPr>
        <w:pStyle w:val="Sansinterligne"/>
        <w:rPr>
          <w:rFonts w:ascii="Verdana Pro Semibold" w:hAnsi="Verdana Pro Semibold"/>
          <w:b/>
          <w:bCs/>
          <w:sz w:val="24"/>
          <w:szCs w:val="24"/>
        </w:rPr>
      </w:pPr>
      <w:r w:rsidRPr="006C7EDE">
        <w:rPr>
          <w:rFonts w:ascii="Verdana Pro Semibold" w:hAnsi="Verdana Pro Semibold"/>
          <w:b/>
          <w:bCs/>
          <w:sz w:val="24"/>
          <w:szCs w:val="24"/>
        </w:rPr>
        <w:t>RENSEIGNEMENTS</w:t>
      </w:r>
      <w:r w:rsidR="00D44115">
        <w:rPr>
          <w:rFonts w:ascii="Verdana Pro Semibold" w:hAnsi="Verdana Pro Semibold"/>
          <w:b/>
          <w:bCs/>
          <w:sz w:val="24"/>
          <w:szCs w:val="24"/>
        </w:rPr>
        <w:t> :</w:t>
      </w:r>
      <w:r w:rsidRPr="006C7EDE">
        <w:rPr>
          <w:rFonts w:ascii="Verdana Pro Semibold" w:hAnsi="Verdana Pro Semibold"/>
          <w:b/>
          <w:bCs/>
          <w:sz w:val="24"/>
          <w:szCs w:val="24"/>
        </w:rPr>
        <w:t> </w:t>
      </w:r>
      <w:r w:rsidR="00BD499A">
        <w:rPr>
          <w:rFonts w:ascii="Verdana Pro Semibold" w:hAnsi="Verdana Pro Semibold"/>
          <w:b/>
          <w:bCs/>
          <w:sz w:val="24"/>
          <w:szCs w:val="24"/>
        </w:rPr>
        <w:t>0</w:t>
      </w:r>
      <w:r w:rsidR="00D44115">
        <w:rPr>
          <w:rFonts w:ascii="Verdana Pro Semibold" w:hAnsi="Verdana Pro Semibold"/>
          <w:b/>
          <w:bCs/>
          <w:sz w:val="24"/>
          <w:szCs w:val="24"/>
        </w:rPr>
        <w:t>618180412</w:t>
      </w:r>
    </w:p>
    <w:p w14:paraId="01DFE96F" w14:textId="77777777" w:rsidR="00EA5BDF" w:rsidRPr="00E633BC" w:rsidRDefault="00EA5BDF" w:rsidP="00EA5BDF">
      <w:pPr>
        <w:pStyle w:val="Sansinterligne"/>
        <w:rPr>
          <w:rFonts w:ascii="Verdana Pro Semibold" w:hAnsi="Verdana Pro Semibold"/>
          <w:sz w:val="24"/>
          <w:szCs w:val="24"/>
        </w:rPr>
      </w:pPr>
      <w:proofErr w:type="gramStart"/>
      <w:r w:rsidRPr="00E633BC">
        <w:rPr>
          <w:rFonts w:ascii="Verdana Pro Semibold" w:hAnsi="Verdana Pro Semibold"/>
          <w:sz w:val="24"/>
          <w:szCs w:val="24"/>
        </w:rPr>
        <w:t>ou</w:t>
      </w:r>
      <w:proofErr w:type="gramEnd"/>
      <w:r w:rsidRPr="00E633BC">
        <w:rPr>
          <w:rFonts w:ascii="Verdana Pro Semibold" w:hAnsi="Verdana Pro Semibold"/>
          <w:sz w:val="24"/>
          <w:szCs w:val="24"/>
        </w:rPr>
        <w:t xml:space="preserve"> contact</w:t>
      </w:r>
      <w:r>
        <w:rPr>
          <w:rFonts w:ascii="Verdana Pro Semibold" w:hAnsi="Verdana Pro Semibold"/>
          <w:sz w:val="24"/>
          <w:szCs w:val="24"/>
        </w:rPr>
        <w:t>2jcfconsult</w:t>
      </w:r>
      <w:r w:rsidRPr="00E633BC">
        <w:rPr>
          <w:rFonts w:ascii="Verdana Pro Semibold" w:hAnsi="Verdana Pro Semibold"/>
          <w:sz w:val="24"/>
          <w:szCs w:val="24"/>
        </w:rPr>
        <w:t>@</w:t>
      </w:r>
      <w:r>
        <w:rPr>
          <w:rFonts w:ascii="Verdana Pro Semibold" w:hAnsi="Verdana Pro Semibold"/>
          <w:sz w:val="24"/>
          <w:szCs w:val="24"/>
        </w:rPr>
        <w:t>gmail.com</w:t>
      </w:r>
    </w:p>
    <w:p w14:paraId="6CEB6BAA" w14:textId="733B18E2" w:rsidR="00EA5BDF" w:rsidRPr="00E633BC" w:rsidRDefault="00EA5BDF" w:rsidP="00EA5BDF">
      <w:pPr>
        <w:tabs>
          <w:tab w:val="left" w:pos="3402"/>
        </w:tabs>
        <w:rPr>
          <w:rFonts w:ascii="Verdana Pro Semibold" w:hAnsi="Verdana Pro Semibold"/>
          <w:sz w:val="24"/>
          <w:szCs w:val="24"/>
        </w:rPr>
      </w:pPr>
    </w:p>
    <w:p w14:paraId="21EA1265" w14:textId="14A32397" w:rsidR="005117F2" w:rsidRDefault="00EA5BDF" w:rsidP="00F43548">
      <w:pPr>
        <w:rPr>
          <w:rFonts w:ascii="Verdana Pro Semibold" w:hAnsi="Verdana Pro Semibold"/>
          <w:bCs/>
          <w:sz w:val="24"/>
          <w:szCs w:val="24"/>
        </w:rPr>
      </w:pPr>
      <w:r w:rsidRPr="00E633BC">
        <w:rPr>
          <w:rFonts w:ascii="Verdana Pro Semibold" w:hAnsi="Verdana Pro Semibold"/>
          <w:bCs/>
          <w:sz w:val="24"/>
          <w:szCs w:val="24"/>
        </w:rPr>
        <w:t>Jean-Claude FEDER</w:t>
      </w:r>
      <w:r w:rsidR="00BD499A">
        <w:rPr>
          <w:rFonts w:ascii="Verdana Pro Semibold" w:hAnsi="Verdana Pro Semibold"/>
          <w:bCs/>
          <w:sz w:val="24"/>
          <w:szCs w:val="24"/>
        </w:rPr>
        <w:t>, votre interlocu</w:t>
      </w:r>
      <w:r w:rsidR="005117F2">
        <w:rPr>
          <w:rFonts w:ascii="Verdana Pro Semibold" w:hAnsi="Verdana Pro Semibold"/>
          <w:bCs/>
          <w:sz w:val="24"/>
          <w:szCs w:val="24"/>
        </w:rPr>
        <w:t>teur.</w:t>
      </w:r>
    </w:p>
    <w:p w14:paraId="18154B06" w14:textId="77777777" w:rsidR="00D44115" w:rsidRDefault="00D44115" w:rsidP="00F43548">
      <w:pPr>
        <w:rPr>
          <w:rFonts w:ascii="Verdana Pro Semibold" w:hAnsi="Verdana Pro Semibold"/>
          <w:bCs/>
          <w:sz w:val="24"/>
          <w:szCs w:val="24"/>
        </w:rPr>
      </w:pPr>
    </w:p>
    <w:p w14:paraId="0D7B4D52" w14:textId="7E89E83D" w:rsidR="00D44115" w:rsidRPr="00D44115" w:rsidRDefault="00D44115" w:rsidP="00D44115">
      <w:pPr>
        <w:pStyle w:val="Sansinterligne"/>
        <w:jc w:val="both"/>
        <w:rPr>
          <w:rFonts w:ascii="Verdana Pro Semibold" w:hAnsi="Verdana Pro Semibold"/>
          <w:i/>
          <w:iCs/>
          <w:sz w:val="24"/>
          <w:szCs w:val="24"/>
        </w:rPr>
      </w:pPr>
      <w:r w:rsidRPr="00D44115">
        <w:rPr>
          <w:rFonts w:ascii="Verdana Pro Semibold" w:hAnsi="Verdana Pro Semibold"/>
          <w:i/>
          <w:iCs/>
          <w:sz w:val="24"/>
          <w:szCs w:val="24"/>
        </w:rPr>
        <w:t>*</w:t>
      </w:r>
      <w:r w:rsidRPr="00D44115">
        <w:rPr>
          <w:rFonts w:ascii="Verdana Pro Semibold" w:hAnsi="Verdana Pro Semibold"/>
          <w:i/>
          <w:iCs/>
          <w:sz w:val="24"/>
          <w:szCs w:val="24"/>
        </w:rPr>
        <w:t>Au-delà</w:t>
      </w:r>
      <w:r w:rsidRPr="00D44115">
        <w:rPr>
          <w:rFonts w:ascii="Verdana Pro Semibold" w:hAnsi="Verdana Pro Semibold"/>
          <w:i/>
          <w:iCs/>
          <w:sz w:val="24"/>
          <w:szCs w:val="24"/>
        </w:rPr>
        <w:t xml:space="preserve"> de l'agrément délivré par l'assureur crédit pour vos clients débiteurs couverts</w:t>
      </w:r>
      <w:r>
        <w:rPr>
          <w:rFonts w:ascii="Verdana Pro Semibold" w:hAnsi="Verdana Pro Semibold"/>
          <w:i/>
          <w:iCs/>
          <w:sz w:val="24"/>
          <w:szCs w:val="24"/>
        </w:rPr>
        <w:t>.</w:t>
      </w:r>
    </w:p>
    <w:sectPr w:rsidR="00D44115" w:rsidRPr="00D44115" w:rsidSect="00BD4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247" w:left="1418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5EED" w14:textId="77777777" w:rsidR="00AA3D77" w:rsidRDefault="00AA3D77" w:rsidP="009F2784">
      <w:r>
        <w:separator/>
      </w:r>
    </w:p>
  </w:endnote>
  <w:endnote w:type="continuationSeparator" w:id="0">
    <w:p w14:paraId="57E9F571" w14:textId="77777777" w:rsidR="00AA3D77" w:rsidRDefault="00AA3D77" w:rsidP="009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E2E6" w14:textId="77777777" w:rsidR="005117F2" w:rsidRDefault="005117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184B" w14:textId="568A4339" w:rsidR="009F2784" w:rsidRDefault="009F2784" w:rsidP="00B202EE">
    <w:pPr>
      <w:pStyle w:val="Sansinterligne"/>
      <w:jc w:val="center"/>
    </w:pPr>
    <w:bookmarkStart w:id="0" w:name="_Hlk92110590"/>
    <w:bookmarkStart w:id="1" w:name="_Hlk92110591"/>
    <w:r w:rsidRPr="009F2784">
      <w:t>Siège Social </w:t>
    </w:r>
    <w:r w:rsidR="00F43548">
      <w:t>78 Avenue des Champs Elysées 75008 PARIS</w:t>
    </w:r>
  </w:p>
  <w:p w14:paraId="486D53C2" w14:textId="38A623CE" w:rsidR="00B202EE" w:rsidRDefault="009F2784" w:rsidP="00B202EE">
    <w:pPr>
      <w:pStyle w:val="Sansinterligne"/>
      <w:jc w:val="center"/>
    </w:pPr>
    <w:r w:rsidRPr="009F2784">
      <w:t>Siren 891 317 497 RCS M</w:t>
    </w:r>
    <w:r w:rsidR="00B202EE">
      <w:t>eaux</w:t>
    </w:r>
  </w:p>
  <w:p w14:paraId="444FCC33" w14:textId="3021DE44" w:rsidR="009F2784" w:rsidRPr="009F2784" w:rsidRDefault="009F2784" w:rsidP="00B202EE">
    <w:pPr>
      <w:pStyle w:val="Sansinterligne"/>
      <w:jc w:val="center"/>
    </w:pPr>
    <w:r w:rsidRPr="009F2784">
      <w:t>SAS au capital 1000 Euros</w:t>
    </w:r>
  </w:p>
  <w:bookmarkEnd w:id="0"/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3F24" w14:textId="77777777" w:rsidR="005117F2" w:rsidRDefault="00511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13BD" w14:textId="77777777" w:rsidR="00AA3D77" w:rsidRDefault="00AA3D77" w:rsidP="009F2784">
      <w:r>
        <w:separator/>
      </w:r>
    </w:p>
  </w:footnote>
  <w:footnote w:type="continuationSeparator" w:id="0">
    <w:p w14:paraId="7848277C" w14:textId="77777777" w:rsidR="00AA3D77" w:rsidRDefault="00AA3D77" w:rsidP="009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E08B" w14:textId="77777777" w:rsidR="005117F2" w:rsidRDefault="005117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529E" w14:textId="77777777" w:rsidR="009A1F97" w:rsidRPr="009A1F97" w:rsidRDefault="00442BEF" w:rsidP="009A1F97">
    <w:pPr>
      <w:tabs>
        <w:tab w:val="center" w:pos="4536"/>
        <w:tab w:val="right" w:pos="8789"/>
      </w:tabs>
      <w:ind w:right="-1417" w:firstLine="985"/>
      <w:rPr>
        <w:rFonts w:ascii="Lucida Fax" w:eastAsia="Verdana" w:hAnsi="Lucida Fax" w:cs="Verdana"/>
        <w:b/>
        <w:bCs/>
        <w:color w:val="1F3864" w:themeColor="accent1" w:themeShade="80"/>
        <w:sz w:val="24"/>
        <w:szCs w:val="24"/>
        <w:lang w:eastAsia="fr-FR" w:bidi="fr-FR"/>
      </w:rPr>
    </w:pPr>
    <w:r>
      <w:rPr>
        <w:rFonts w:ascii="Lucida Fax" w:hAnsi="Lucida Fax"/>
      </w:rPr>
      <w:t xml:space="preserve">           </w:t>
    </w:r>
    <w:r w:rsidR="009A1F97" w:rsidRPr="009A1F97">
      <w:rPr>
        <w:rFonts w:ascii="Verdana" w:eastAsia="Verdana" w:hAnsi="Verdana" w:cs="Verdana"/>
        <w:noProof/>
        <w:sz w:val="22"/>
        <w:szCs w:val="22"/>
        <w:lang w:eastAsia="fr-FR" w:bidi="fr-FR"/>
      </w:rPr>
      <w:drawing>
        <wp:anchor distT="0" distB="0" distL="0" distR="0" simplePos="0" relativeHeight="251659264" behindDoc="1" locked="0" layoutInCell="1" allowOverlap="1" wp14:anchorId="3FB46A14" wp14:editId="6755FDCD">
          <wp:simplePos x="0" y="0"/>
          <wp:positionH relativeFrom="page">
            <wp:posOffset>152400</wp:posOffset>
          </wp:positionH>
          <wp:positionV relativeFrom="paragraph">
            <wp:posOffset>-270510</wp:posOffset>
          </wp:positionV>
          <wp:extent cx="1314450" cy="1266825"/>
          <wp:effectExtent l="0" t="0" r="0" b="9525"/>
          <wp:wrapNone/>
          <wp:docPr id="1370785367" name="Picture 29" descr="Une image contenant Graphique, clipart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9" descr="Une image contenant Graphique, clipart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F97" w:rsidRPr="009A1F97">
      <w:rPr>
        <w:rFonts w:ascii="Lucida Fax" w:eastAsia="Verdana" w:hAnsi="Lucida Fax" w:cs="Verdana"/>
        <w:b/>
        <w:bCs/>
        <w:color w:val="1F3864" w:themeColor="accent1" w:themeShade="80"/>
        <w:sz w:val="44"/>
        <w:szCs w:val="44"/>
        <w:lang w:eastAsia="fr-FR" w:bidi="fr-FR"/>
      </w:rPr>
      <w:t xml:space="preserve">JCF CONSULTANT </w:t>
    </w:r>
  </w:p>
  <w:p w14:paraId="0BBC1762" w14:textId="6468BE6D" w:rsidR="009A1F97" w:rsidRPr="009A1F97" w:rsidRDefault="003671E8" w:rsidP="009A1F97">
    <w:pPr>
      <w:widowControl w:val="0"/>
      <w:tabs>
        <w:tab w:val="center" w:pos="4536"/>
        <w:tab w:val="right" w:pos="8789"/>
      </w:tabs>
      <w:suppressAutoHyphens/>
      <w:spacing w:after="0" w:line="240" w:lineRule="auto"/>
      <w:ind w:right="-1417" w:firstLine="985"/>
      <w:rPr>
        <w:rFonts w:ascii="Lucida Fax" w:eastAsia="Verdana" w:hAnsi="Lucida Fax" w:cs="Verdana"/>
        <w:b/>
        <w:bCs/>
        <w:i/>
        <w:iCs/>
        <w:color w:val="1F3864" w:themeColor="accent1" w:themeShade="80"/>
        <w:sz w:val="24"/>
        <w:szCs w:val="24"/>
        <w:lang w:eastAsia="fr-FR" w:bidi="fr-FR"/>
      </w:rPr>
    </w:pPr>
    <w:r>
      <w:rPr>
        <w:rFonts w:ascii="Lucida Fax" w:eastAsia="Verdana" w:hAnsi="Lucida Fax" w:cs="Verdana"/>
        <w:b/>
        <w:bCs/>
        <w:i/>
        <w:iCs/>
        <w:color w:val="1F3864" w:themeColor="accent1" w:themeShade="80"/>
        <w:sz w:val="24"/>
        <w:szCs w:val="24"/>
        <w:lang w:eastAsia="fr-FR" w:bidi="fr-FR"/>
      </w:rPr>
      <w:t xml:space="preserve">Accompagnement administratif &amp; </w:t>
    </w:r>
    <w:r w:rsidR="005117F2">
      <w:rPr>
        <w:rFonts w:ascii="Lucida Fax" w:eastAsia="Verdana" w:hAnsi="Lucida Fax" w:cs="Verdana"/>
        <w:b/>
        <w:bCs/>
        <w:i/>
        <w:iCs/>
        <w:color w:val="1F3864" w:themeColor="accent1" w:themeShade="80"/>
        <w:sz w:val="24"/>
        <w:szCs w:val="24"/>
        <w:lang w:eastAsia="fr-FR" w:bidi="fr-FR"/>
      </w:rPr>
      <w:t>commercial.</w:t>
    </w:r>
  </w:p>
  <w:p w14:paraId="0F6E01D5" w14:textId="49D9B2FD" w:rsidR="00DD17F2" w:rsidRPr="00DD17F2" w:rsidRDefault="00DD17F2" w:rsidP="009A1F97">
    <w:pPr>
      <w:pStyle w:val="Sansinterligne"/>
      <w:rPr>
        <w:b/>
        <w:bCs/>
        <w:i/>
        <w:iCs/>
        <w:sz w:val="28"/>
        <w:szCs w:val="28"/>
      </w:rPr>
    </w:pPr>
  </w:p>
  <w:p w14:paraId="685D6F80" w14:textId="77777777" w:rsidR="00442BEF" w:rsidRPr="00DF540F" w:rsidRDefault="00442BEF" w:rsidP="00DD17F2">
    <w:pPr>
      <w:pStyle w:val="Sansinterligne"/>
      <w:rPr>
        <w:rFonts w:ascii="Lucida Fax" w:hAnsi="Lucida Fax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3C07" w14:textId="77777777" w:rsidR="005117F2" w:rsidRDefault="00511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5065A2"/>
    <w:multiLevelType w:val="hybridMultilevel"/>
    <w:tmpl w:val="2DD81744"/>
    <w:lvl w:ilvl="0" w:tplc="F43098A2">
      <w:numFmt w:val="bullet"/>
      <w:lvlText w:val=""/>
      <w:lvlJc w:val="left"/>
      <w:pPr>
        <w:ind w:left="1413" w:hanging="705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741397">
    <w:abstractNumId w:val="1"/>
  </w:num>
  <w:num w:numId="2" w16cid:durableId="1553156953">
    <w:abstractNumId w:val="0"/>
  </w:num>
  <w:num w:numId="3" w16cid:durableId="1968272628">
    <w:abstractNumId w:val="0"/>
  </w:num>
  <w:num w:numId="4" w16cid:durableId="31538401">
    <w:abstractNumId w:val="0"/>
  </w:num>
  <w:num w:numId="5" w16cid:durableId="1824658423">
    <w:abstractNumId w:val="0"/>
  </w:num>
  <w:num w:numId="6" w16cid:durableId="1043672521">
    <w:abstractNumId w:val="0"/>
  </w:num>
  <w:num w:numId="7" w16cid:durableId="1630892311">
    <w:abstractNumId w:val="0"/>
  </w:num>
  <w:num w:numId="8" w16cid:durableId="125779624">
    <w:abstractNumId w:val="0"/>
  </w:num>
  <w:num w:numId="9" w16cid:durableId="1546866937">
    <w:abstractNumId w:val="0"/>
  </w:num>
  <w:num w:numId="10" w16cid:durableId="248659001">
    <w:abstractNumId w:val="0"/>
  </w:num>
  <w:num w:numId="11" w16cid:durableId="16613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84"/>
    <w:rsid w:val="000370EF"/>
    <w:rsid w:val="0006347B"/>
    <w:rsid w:val="000927BD"/>
    <w:rsid w:val="000A6210"/>
    <w:rsid w:val="000E5A56"/>
    <w:rsid w:val="00102EC0"/>
    <w:rsid w:val="00107F6F"/>
    <w:rsid w:val="001236B5"/>
    <w:rsid w:val="00140072"/>
    <w:rsid w:val="00160E1E"/>
    <w:rsid w:val="00185BEA"/>
    <w:rsid w:val="00190CE0"/>
    <w:rsid w:val="001A1D62"/>
    <w:rsid w:val="001E08CC"/>
    <w:rsid w:val="002257CE"/>
    <w:rsid w:val="00292438"/>
    <w:rsid w:val="002B1869"/>
    <w:rsid w:val="00305169"/>
    <w:rsid w:val="00316E51"/>
    <w:rsid w:val="00354E78"/>
    <w:rsid w:val="003671E8"/>
    <w:rsid w:val="00374DEC"/>
    <w:rsid w:val="00375C93"/>
    <w:rsid w:val="003A7BE9"/>
    <w:rsid w:val="00401989"/>
    <w:rsid w:val="004119BC"/>
    <w:rsid w:val="00427AFE"/>
    <w:rsid w:val="00442BEF"/>
    <w:rsid w:val="004722A7"/>
    <w:rsid w:val="00474490"/>
    <w:rsid w:val="004818F8"/>
    <w:rsid w:val="00482071"/>
    <w:rsid w:val="00490761"/>
    <w:rsid w:val="005117F2"/>
    <w:rsid w:val="00525542"/>
    <w:rsid w:val="005A0F46"/>
    <w:rsid w:val="005F5815"/>
    <w:rsid w:val="00604B82"/>
    <w:rsid w:val="00612BB6"/>
    <w:rsid w:val="00634B21"/>
    <w:rsid w:val="006A2BBA"/>
    <w:rsid w:val="006C51C9"/>
    <w:rsid w:val="00703C85"/>
    <w:rsid w:val="00732749"/>
    <w:rsid w:val="00735A3C"/>
    <w:rsid w:val="0075318A"/>
    <w:rsid w:val="007818A7"/>
    <w:rsid w:val="00792982"/>
    <w:rsid w:val="007E0027"/>
    <w:rsid w:val="007E2111"/>
    <w:rsid w:val="007E3433"/>
    <w:rsid w:val="007F3B46"/>
    <w:rsid w:val="00850638"/>
    <w:rsid w:val="00852D8B"/>
    <w:rsid w:val="008E59C7"/>
    <w:rsid w:val="008F3BAE"/>
    <w:rsid w:val="009331CB"/>
    <w:rsid w:val="00964771"/>
    <w:rsid w:val="0097165E"/>
    <w:rsid w:val="00996077"/>
    <w:rsid w:val="009961CB"/>
    <w:rsid w:val="009A1F97"/>
    <w:rsid w:val="009A2180"/>
    <w:rsid w:val="009A390B"/>
    <w:rsid w:val="009B7B04"/>
    <w:rsid w:val="009C5F88"/>
    <w:rsid w:val="009F2784"/>
    <w:rsid w:val="00A43901"/>
    <w:rsid w:val="00A92D8C"/>
    <w:rsid w:val="00AA3D77"/>
    <w:rsid w:val="00AA6547"/>
    <w:rsid w:val="00B202EE"/>
    <w:rsid w:val="00B210BC"/>
    <w:rsid w:val="00B2290A"/>
    <w:rsid w:val="00B37372"/>
    <w:rsid w:val="00B56C03"/>
    <w:rsid w:val="00B622E9"/>
    <w:rsid w:val="00B9182C"/>
    <w:rsid w:val="00BD499A"/>
    <w:rsid w:val="00BD4A87"/>
    <w:rsid w:val="00C416B5"/>
    <w:rsid w:val="00D20FDB"/>
    <w:rsid w:val="00D44115"/>
    <w:rsid w:val="00D86AE5"/>
    <w:rsid w:val="00D95BA8"/>
    <w:rsid w:val="00DC1801"/>
    <w:rsid w:val="00DD17F2"/>
    <w:rsid w:val="00DF540F"/>
    <w:rsid w:val="00E37CCC"/>
    <w:rsid w:val="00EA5BDF"/>
    <w:rsid w:val="00ED1F21"/>
    <w:rsid w:val="00ED60ED"/>
    <w:rsid w:val="00EF709D"/>
    <w:rsid w:val="00F43548"/>
    <w:rsid w:val="00FA6F63"/>
    <w:rsid w:val="00FC20BE"/>
    <w:rsid w:val="00FD4524"/>
    <w:rsid w:val="00FD63E5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6637"/>
  <w15:chartTrackingRefBased/>
  <w15:docId w15:val="{04AE3F5B-C535-4590-B36B-797350B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2EE"/>
  </w:style>
  <w:style w:type="paragraph" w:styleId="Titre1">
    <w:name w:val="heading 1"/>
    <w:basedOn w:val="Normal"/>
    <w:next w:val="Normal"/>
    <w:link w:val="Titre1Car"/>
    <w:uiPriority w:val="9"/>
    <w:qFormat/>
    <w:rsid w:val="00B202E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02E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02E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02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02E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02E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02E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02E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02E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7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784"/>
  </w:style>
  <w:style w:type="paragraph" w:styleId="Pieddepage">
    <w:name w:val="footer"/>
    <w:basedOn w:val="Normal"/>
    <w:link w:val="PieddepageCar"/>
    <w:uiPriority w:val="99"/>
    <w:unhideWhenUsed/>
    <w:rsid w:val="009F27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784"/>
  </w:style>
  <w:style w:type="paragraph" w:styleId="Sansinterligne">
    <w:name w:val="No Spacing"/>
    <w:uiPriority w:val="1"/>
    <w:qFormat/>
    <w:rsid w:val="00B202EE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A7BE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7BE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202E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B202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202E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202E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202E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202E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02E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02E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B202E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02E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202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B202E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02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202E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B202EE"/>
    <w:rPr>
      <w:b/>
      <w:bCs/>
    </w:rPr>
  </w:style>
  <w:style w:type="character" w:styleId="Accentuation">
    <w:name w:val="Emphasis"/>
    <w:basedOn w:val="Policepardfaut"/>
    <w:uiPriority w:val="20"/>
    <w:qFormat/>
    <w:rsid w:val="00B202EE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202E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202E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2E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2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202E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B202E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202EE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202EE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B202E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02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FEDER</dc:creator>
  <cp:keywords/>
  <dc:description/>
  <cp:lastModifiedBy>jean-claude F</cp:lastModifiedBy>
  <cp:revision>5</cp:revision>
  <cp:lastPrinted>2024-01-16T09:01:00Z</cp:lastPrinted>
  <dcterms:created xsi:type="dcterms:W3CDTF">2024-08-03T08:11:00Z</dcterms:created>
  <dcterms:modified xsi:type="dcterms:W3CDTF">2025-01-15T19:50:00Z</dcterms:modified>
</cp:coreProperties>
</file>